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1ksv4uv" w:id="0"/>
    <w:bookmarkEnd w:id="0"/>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bookmarkStart w:colFirst="0" w:colLast="0" w:name="_heading=h.44sinio" w:id="1"/>
      <w:bookmarkEnd w:id="1"/>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ind w:left="58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ind w:left="589"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of this Joint Schedule 11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2"/>
    <w:bookmarkEnd w:id="2"/>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3"/>
    <w:bookmarkEnd w:id="3"/>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of this Joint Schedule 11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4"/>
    <w:bookmarkEnd w:id="4"/>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5"/>
      <w:bookmarkEnd w:id="5"/>
      <w:r w:rsidDel="00000000" w:rsidR="00000000" w:rsidRPr="00000000">
        <w:rPr>
          <w:rtl w:val="0"/>
        </w:rPr>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6"/>
    <w:bookmarkEnd w:id="6"/>
    <w:p w:rsidR="00000000" w:rsidDel="00000000" w:rsidP="00000000" w:rsidRDefault="00000000" w:rsidRPr="00000000" w14:paraId="0000001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of this Joint Schedule 11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7"/>
    <w:bookmarkEnd w:id="7"/>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8"/>
    <w:bookmarkEnd w:id="8"/>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9"/>
    <w:bookmarkEnd w:id="9"/>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10"/>
    <w:bookmarkEnd w:id="10"/>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1"/>
    <w:bookmarkEnd w:id="11"/>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2"/>
    <w:bookmarkEnd w:id="12"/>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3"/>
    <w:bookmarkEnd w:id="13"/>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4"/>
      <w:bookmarkEnd w:id="14"/>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5"/>
    <w:bookmarkEnd w:id="15"/>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6"/>
    <w:bookmarkEnd w:id="16"/>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w:t>
      </w:r>
      <w:r w:rsidDel="00000000" w:rsidR="00000000" w:rsidRPr="00000000">
        <w:rPr>
          <w:rFonts w:ascii="Arial" w:cs="Arial" w:eastAsia="Arial" w:hAnsi="Arial"/>
          <w:sz w:val="24"/>
          <w:szCs w:val="24"/>
          <w:rtl w:val="0"/>
        </w:rPr>
        <w:t xml:space="preserve">their</w:t>
      </w:r>
      <w:r w:rsidDel="00000000" w:rsidR="00000000" w:rsidRPr="00000000">
        <w:rPr>
          <w:rFonts w:ascii="Arial" w:cs="Arial" w:eastAsia="Arial" w:hAnsi="Arial"/>
          <w:sz w:val="24"/>
          <w:szCs w:val="24"/>
          <w:rtl w:val="0"/>
        </w:rPr>
        <w:t xml:space="preserve"> Processing of such Personal Data as Controller.</w:t>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of this Joint Schedule 11</w:t>
      </w:r>
      <w:r w:rsidDel="00000000" w:rsidR="00000000" w:rsidRPr="00000000">
        <w:rPr>
          <w:rFonts w:ascii="Arial" w:cs="Arial" w:eastAsia="Arial" w:hAnsi="Arial"/>
          <w:i w:val="1"/>
          <w:sz w:val="24"/>
          <w:szCs w:val="24"/>
          <w:rtl w:val="0"/>
        </w:rPr>
        <w:t xml:space="preserve"> (Processing Personal Data).</w:t>
      </w:r>
      <w:r w:rsidDel="00000000" w:rsidR="00000000" w:rsidRPr="00000000">
        <w:rPr>
          <w:rtl w:val="0"/>
        </w:rPr>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of this Joint Schedule 11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of this Joint Schedule 11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bookmarkStart w:colFirst="0" w:colLast="0" w:name="_heading=h.30j0zll" w:id="17"/>
            <w:bookmarkEnd w:id="17"/>
            <w:r w:rsidDel="00000000" w:rsidR="00000000" w:rsidRPr="00000000">
              <w:rPr>
                <w:rFonts w:ascii="Arial" w:cs="Arial" w:eastAsia="Arial" w:hAnsi="Arial"/>
                <w:sz w:val="24"/>
                <w:szCs w:val="24"/>
                <w:rtl w:val="0"/>
              </w:rPr>
              <w:t xml:space="preserve">The Parties acknowledge that in accordance with paragraph 3 to paragraph 16 of this Joint Schedule 11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i w:val="1"/>
                <w:sz w:val="24"/>
                <w:szCs w:val="24"/>
                <w:highlight w:val="white"/>
                <w:rtl w:val="0"/>
              </w:rPr>
              <w:t xml:space="preserve">Th</w:t>
            </w:r>
            <w:r w:rsidDel="00000000" w:rsidR="00000000" w:rsidRPr="00000000">
              <w:rPr>
                <w:rFonts w:ascii="Arial" w:cs="Arial" w:eastAsia="Arial" w:hAnsi="Arial"/>
                <w:i w:val="1"/>
                <w:sz w:val="24"/>
                <w:szCs w:val="24"/>
                <w:rtl w:val="0"/>
              </w:rPr>
              <w:t xml:space="preserve">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at Call-Off if relevant OR delete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Scope of Personal Data which the purposes and means of the Processing by the Relevant Authority  is determined by the Supplier:</w:t>
            </w:r>
          </w:p>
          <w:p w:rsidR="00000000" w:rsidDel="00000000" w:rsidP="00000000" w:rsidRDefault="00000000" w:rsidRPr="00000000" w14:paraId="0000007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78">
            <w:pPr>
              <w:rPr>
                <w:rFonts w:ascii="Cambria" w:cs="Cambria" w:eastAsia="Cambria" w:hAnsi="Cambria"/>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at Call-Off if relevant OR delete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79">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white"/>
                <w:rtl w:val="0"/>
              </w:rPr>
              <w:t xml:space="preserve">S</w:t>
            </w:r>
            <w:r w:rsidDel="00000000" w:rsidR="00000000" w:rsidRPr="00000000">
              <w:rPr>
                <w:rFonts w:ascii="Arial" w:cs="Arial" w:eastAsia="Arial" w:hAnsi="Arial"/>
                <w:i w:val="1"/>
                <w:sz w:val="24"/>
                <w:szCs w:val="24"/>
                <w:rtl w:val="0"/>
              </w:rPr>
              <w:t xml:space="preserve">cope of Personal Data which the purposes and means of the Processing is determined by the both Parties together:</w:t>
            </w:r>
          </w:p>
          <w:p w:rsidR="00000000" w:rsidDel="00000000" w:rsidP="00000000" w:rsidRDefault="00000000" w:rsidRPr="00000000" w14:paraId="0000007F">
            <w:pPr>
              <w:ind w:left="72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0">
            <w:pPr>
              <w:rPr>
                <w:rFonts w:ascii="Cambria" w:cs="Cambria" w:eastAsia="Cambria" w:hAnsi="Cambria"/>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at Call-Off if relevant OR delete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3">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5">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6">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r w:rsidDel="00000000" w:rsidR="00000000" w:rsidRPr="00000000">
              <w:rPr>
                <w:rtl w:val="0"/>
              </w:rPr>
            </w:r>
          </w:p>
          <w:p w:rsidR="00000000" w:rsidDel="00000000" w:rsidP="00000000" w:rsidRDefault="00000000" w:rsidRPr="00000000" w14:paraId="00000087">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OR delete] </w:t>
            </w:r>
          </w:p>
          <w:p w:rsidR="00000000" w:rsidDel="00000000" w:rsidP="00000000" w:rsidRDefault="00000000" w:rsidRPr="00000000" w14:paraId="0000008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A">
            <w:pPr>
              <w:rPr>
                <w:rFonts w:ascii="Cambria" w:cs="Cambria" w:eastAsia="Cambria" w:hAnsi="Cambria"/>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For CCS under the Framework Agreement: For up to 5 years  corresponding with a 2 year framework term and 2 optional 12 month extensions.</w:t>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Then for 7 years post framework expiry as per regulatory retention requirements for commercial/financial data.</w:t>
            </w:r>
          </w:p>
          <w:p w:rsidR="00000000" w:rsidDel="00000000" w:rsidP="00000000" w:rsidRDefault="00000000" w:rsidRPr="00000000" w14:paraId="0000008E">
            <w:pPr>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For Buyers: </w:t>
            </w: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detail prior to executing Call-Off Contract]</w:t>
            </w: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rsidR="00000000" w:rsidDel="00000000" w:rsidP="00000000" w:rsidRDefault="00000000" w:rsidRPr="00000000" w14:paraId="0000009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9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inviting the Supplier Staff to contract management workshops and events; </w:t>
            </w:r>
          </w:p>
          <w:p w:rsidR="00000000" w:rsidDel="00000000" w:rsidP="00000000" w:rsidRDefault="00000000" w:rsidRPr="00000000" w14:paraId="0000009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complying with requirements under the Contract to contact named individuals; </w:t>
            </w:r>
          </w:p>
          <w:p w:rsidR="00000000" w:rsidDel="00000000" w:rsidP="00000000" w:rsidRDefault="00000000" w:rsidRPr="00000000" w14:paraId="0000009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establishing the Supplier’s compliance with the procurement process and the Contract; and</w:t>
            </w:r>
          </w:p>
          <w:p w:rsidR="00000000" w:rsidDel="00000000" w:rsidP="00000000" w:rsidRDefault="00000000" w:rsidRPr="00000000" w14:paraId="0000009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including Personal Data within reports.</w:t>
            </w:r>
          </w:p>
          <w:p w:rsidR="00000000" w:rsidDel="00000000" w:rsidP="00000000" w:rsidRDefault="00000000" w:rsidRPr="00000000" w14:paraId="0000009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Relevant Authority’s Personal Data over which the Supplier shall act as a Controller, the Supplier may: collect, collate, share, evaluate, use, store, replicate, and otherwise Process the Personal Data (subject to the terms of the Contract) to enable it to administer and fulfil its obligations under the Contract.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9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complying with requirements under the Contract to contact named individuals; and</w:t>
            </w:r>
          </w:p>
          <w:p w:rsidR="00000000" w:rsidDel="00000000" w:rsidP="00000000" w:rsidRDefault="00000000" w:rsidRPr="00000000" w14:paraId="0000009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including Personal Data within reports.</w:t>
            </w:r>
          </w:p>
          <w:p w:rsidR="00000000" w:rsidDel="00000000" w:rsidP="00000000" w:rsidRDefault="00000000" w:rsidRPr="00000000" w14:paraId="0000009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F">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A0">
            <w:pPr>
              <w:rPr>
                <w:rFonts w:ascii="Arial" w:cs="Arial" w:eastAsia="Arial" w:hAnsi="Arial"/>
                <w:b w:val="1"/>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A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Individuals’ names, job titles, email addresses, organisational name, work phone numbers. To the extent relevant and supplied during the procurement process, details of any relevant convictions. </w:t>
            </w:r>
          </w:p>
          <w:p w:rsidR="00000000" w:rsidDel="00000000" w:rsidP="00000000" w:rsidRDefault="00000000" w:rsidRPr="00000000" w14:paraId="000000A3">
            <w:pPr>
              <w:rPr>
                <w:rFonts w:ascii="Arial" w:cs="Arial" w:eastAsia="Arial" w:hAnsi="Arial"/>
                <w:b w:val="1"/>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Relevant Authority Staff and Supplier Staff. </w:t>
            </w:r>
          </w:p>
          <w:p w:rsidR="00000000" w:rsidDel="00000000" w:rsidP="00000000" w:rsidRDefault="00000000" w:rsidRPr="00000000" w14:paraId="000000A6">
            <w:pPr>
              <w:rPr>
                <w:rFonts w:ascii="Arial" w:cs="Arial" w:eastAsia="Arial" w:hAnsi="Arial"/>
                <w:b w:val="1"/>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law to preserve that type of data</w:t>
            </w:r>
          </w:p>
        </w:tc>
        <w:tc>
          <w:tcPr>
            <w:shd w:fill="auto" w:val="clear"/>
          </w:tcPr>
          <w:p w:rsidR="00000000" w:rsidDel="00000000" w:rsidP="00000000" w:rsidRDefault="00000000" w:rsidRPr="00000000" w14:paraId="000000A9">
            <w:pPr>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For the duration of the Contract </w:t>
            </w:r>
            <w:r w:rsidDel="00000000" w:rsidR="00000000" w:rsidRPr="00000000">
              <w:rPr>
                <w:rFonts w:ascii="Arial" w:cs="Arial" w:eastAsia="Arial" w:hAnsi="Arial"/>
                <w:i w:val="1"/>
                <w:sz w:val="24"/>
                <w:szCs w:val="24"/>
                <w:rtl w:val="0"/>
              </w:rPr>
              <w:t xml:space="preserve">and 7 years after.</w:t>
            </w:r>
            <w:r w:rsidDel="00000000" w:rsidR="00000000" w:rsidRPr="00000000">
              <w:rPr>
                <w:rtl w:val="0"/>
              </w:rPr>
            </w:r>
          </w:p>
        </w:tc>
      </w:tr>
    </w:tbl>
    <w:p w:rsidR="00000000" w:rsidDel="00000000" w:rsidP="00000000" w:rsidRDefault="00000000" w:rsidRPr="00000000" w14:paraId="000000A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E">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F">
      <w:pPr>
        <w:keepNext w:val="1"/>
        <w:rPr>
          <w:rFonts w:ascii="Arial" w:cs="Arial" w:eastAsia="Arial" w:hAnsi="Arial"/>
          <w:sz w:val="24"/>
          <w:szCs w:val="24"/>
        </w:rPr>
      </w:pPr>
      <w:bookmarkStart w:colFirst="0" w:colLast="0" w:name="_heading=h.gjdgxs" w:id="18"/>
      <w:bookmarkEnd w:id="18"/>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B0">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B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B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7">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8">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6</w:t>
      </w:r>
      <w:r w:rsidDel="00000000" w:rsidR="00000000" w:rsidRPr="00000000">
        <w:rPr>
          <w:rFonts w:ascii="Arial" w:cs="Arial" w:eastAsia="Arial" w:hAnsi="Arial"/>
          <w:sz w:val="24"/>
          <w:szCs w:val="24"/>
          <w:rtl w:val="0"/>
        </w:rPr>
        <w:t xml:space="preserve"> months </w:t>
      </w:r>
      <w:r w:rsidDel="00000000" w:rsidR="00000000" w:rsidRPr="00000000">
        <w:rPr>
          <w:rFonts w:ascii="Arial" w:cs="Arial" w:eastAsia="Arial" w:hAnsi="Arial"/>
          <w:sz w:val="24"/>
          <w:szCs w:val="24"/>
          <w:rtl w:val="0"/>
        </w:rPr>
        <w:t xml:space="preserve">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B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C">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C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2">
      <w:pPr>
        <w:numPr>
          <w:ilvl w:val="2"/>
          <w:numId w:val="12"/>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3">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5">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C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8">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C">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D0">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1">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2">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5">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6">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D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8">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9">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D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D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6">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7">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EB">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E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E">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EF">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F0">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3">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to such apportionment then such </w:t>
      </w:r>
      <w:r w:rsidDel="00000000" w:rsidR="00000000" w:rsidRPr="00000000">
        <w:rPr>
          <w:rFonts w:ascii="Arial" w:cs="Arial" w:eastAsia="Arial" w:hAnsi="Arial"/>
          <w:sz w:val="24"/>
          <w:szCs w:val="24"/>
          <w:rtl w:val="0"/>
        </w:rPr>
        <w:t xml:space="preserve">Dispute</w:t>
      </w:r>
      <w:r w:rsidDel="00000000" w:rsidR="00000000" w:rsidRPr="00000000">
        <w:rPr>
          <w:rFonts w:ascii="Arial" w:cs="Arial" w:eastAsia="Arial" w:hAnsi="Arial"/>
          <w:sz w:val="24"/>
          <w:szCs w:val="24"/>
          <w:rtl w:val="0"/>
        </w:rPr>
        <w:t xml:space="preserve"> shall be referred to the Dispute Resolution Procedure set out in Clause 34 of the Core Terms (Resolving disputes). </w:t>
      </w:r>
    </w:p>
    <w:p w:rsidR="00000000" w:rsidDel="00000000" w:rsidP="00000000" w:rsidRDefault="00000000" w:rsidRPr="00000000" w14:paraId="000000F4">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w:t>
      </w:r>
      <w:r w:rsidDel="00000000" w:rsidR="00000000" w:rsidRPr="00000000">
        <w:rPr>
          <w:rFonts w:ascii="Arial" w:cs="Arial" w:eastAsia="Arial" w:hAnsi="Arial"/>
          <w:sz w:val="24"/>
          <w:szCs w:val="24"/>
          <w:rtl w:val="0"/>
        </w:rPr>
        <w:t xml:space="preserve"> for the relevant Personal Data Breach is unclear, then the Relevant Authority and the Supplier shall be responsible for the Claim Losses equally. </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B">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FC">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D">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E">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C">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F">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tZ43I4Vxv1GhoQx/5gTNvx4pA==">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2022-08-03T13:10:00Z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